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7D731A" w14:textId="77777777" w:rsidR="00971414" w:rsidRDefault="00913947" w:rsidP="00971414">
      <w:pPr>
        <w:spacing w:before="120" w:after="120"/>
        <w:jc w:val="right"/>
        <w:rPr>
          <w:rFonts w:ascii="Times New Roman" w:eastAsiaTheme="minorEastAsia" w:hAnsi="Times New Roman" w:cs="Times New Roman"/>
          <w:b/>
          <w:sz w:val="24"/>
          <w:szCs w:val="24"/>
          <w:shd w:val="clear" w:color="auto" w:fill="FEFEFE"/>
          <w:lang w:eastAsia="bg-BG"/>
        </w:rPr>
      </w:pPr>
      <w:r w:rsidRPr="00971414">
        <w:rPr>
          <w:rFonts w:ascii="Times New Roman" w:eastAsiaTheme="minorEastAsia" w:hAnsi="Times New Roman" w:cs="Times New Roman"/>
          <w:b/>
          <w:sz w:val="24"/>
          <w:szCs w:val="24"/>
          <w:shd w:val="clear" w:color="auto" w:fill="FEFEFE"/>
          <w:lang w:eastAsia="bg-BG"/>
        </w:rPr>
        <w:t>Приложение № 1</w:t>
      </w:r>
      <w:r w:rsidR="00971414" w:rsidRPr="00971414">
        <w:rPr>
          <w:rFonts w:ascii="Times New Roman" w:eastAsiaTheme="minorEastAsia" w:hAnsi="Times New Roman" w:cs="Times New Roman"/>
          <w:b/>
          <w:sz w:val="24"/>
          <w:szCs w:val="24"/>
          <w:shd w:val="clear" w:color="auto" w:fill="FEFEFE"/>
          <w:lang w:eastAsia="bg-BG"/>
        </w:rPr>
        <w:t xml:space="preserve">6 </w:t>
      </w:r>
    </w:p>
    <w:p w14:paraId="7BB56B28" w14:textId="77777777" w:rsidR="00971414" w:rsidRPr="00971414" w:rsidRDefault="00971414" w:rsidP="00971414">
      <w:pPr>
        <w:spacing w:before="120" w:after="120"/>
        <w:jc w:val="right"/>
        <w:rPr>
          <w:rFonts w:ascii="Times New Roman" w:eastAsiaTheme="minorEastAsia" w:hAnsi="Times New Roman" w:cs="Times New Roman"/>
          <w:b/>
          <w:sz w:val="24"/>
          <w:szCs w:val="24"/>
          <w:shd w:val="clear" w:color="auto" w:fill="FEFEFE"/>
          <w:lang w:eastAsia="bg-BG"/>
        </w:rPr>
      </w:pPr>
      <w:r w:rsidRPr="00971414">
        <w:rPr>
          <w:rFonts w:ascii="Times New Roman" w:eastAsiaTheme="minorEastAsia" w:hAnsi="Times New Roman" w:cs="Times New Roman"/>
          <w:b/>
          <w:sz w:val="24"/>
          <w:szCs w:val="24"/>
          <w:shd w:val="clear" w:color="auto" w:fill="FEFEFE"/>
          <w:lang w:eastAsia="bg-BG"/>
        </w:rPr>
        <w:t>към Условията за кандидатстване</w:t>
      </w:r>
    </w:p>
    <w:p w14:paraId="79DCDF01" w14:textId="77777777" w:rsidR="00913947" w:rsidRDefault="00913947" w:rsidP="00913947">
      <w:pPr>
        <w:spacing w:before="120" w:after="120"/>
        <w:rPr>
          <w:rFonts w:ascii="Times New Roman" w:eastAsiaTheme="minorEastAsia" w:hAnsi="Times New Roman" w:cs="Times New Roman"/>
          <w:sz w:val="24"/>
          <w:szCs w:val="24"/>
          <w:shd w:val="clear" w:color="auto" w:fill="FEFEFE"/>
          <w:lang w:val="en-US" w:eastAsia="bg-BG"/>
        </w:rPr>
      </w:pPr>
      <w:r w:rsidRPr="007750B3">
        <w:rPr>
          <w:rFonts w:ascii="Times New Roman" w:eastAsiaTheme="minorEastAsia" w:hAnsi="Times New Roman" w:cs="Times New Roman"/>
          <w:sz w:val="24"/>
          <w:szCs w:val="24"/>
          <w:shd w:val="clear" w:color="auto" w:fill="FEFEFE"/>
          <w:lang w:eastAsia="bg-BG"/>
        </w:rPr>
        <w:t xml:space="preserve"> </w:t>
      </w:r>
    </w:p>
    <w:p w14:paraId="296424C6" w14:textId="77777777" w:rsidR="00913947" w:rsidRDefault="00913947" w:rsidP="00913947">
      <w:pPr>
        <w:spacing w:before="120" w:after="120"/>
        <w:jc w:val="center"/>
        <w:rPr>
          <w:rFonts w:ascii="Times New Roman" w:eastAsiaTheme="minorEastAsia" w:hAnsi="Times New Roman" w:cs="Times New Roman"/>
          <w:b/>
          <w:sz w:val="24"/>
          <w:szCs w:val="24"/>
          <w:shd w:val="clear" w:color="auto" w:fill="FEFEFE"/>
          <w:lang w:val="en-US" w:eastAsia="bg-BG"/>
        </w:rPr>
      </w:pPr>
      <w:r w:rsidRPr="00913947">
        <w:rPr>
          <w:rFonts w:ascii="Times New Roman" w:eastAsiaTheme="minorEastAsia" w:hAnsi="Times New Roman" w:cs="Times New Roman"/>
          <w:b/>
          <w:sz w:val="24"/>
          <w:szCs w:val="24"/>
          <w:shd w:val="clear" w:color="auto" w:fill="FEFEFE"/>
          <w:lang w:eastAsia="bg-BG"/>
        </w:rPr>
        <w:t>Използвани основни дефиниции</w:t>
      </w:r>
    </w:p>
    <w:p w14:paraId="01E379B4" w14:textId="77777777" w:rsidR="00913947" w:rsidRDefault="00913947" w:rsidP="00913947">
      <w:pPr>
        <w:spacing w:before="240" w:after="240" w:line="360" w:lineRule="auto"/>
        <w:ind w:firstLine="851"/>
        <w:jc w:val="both"/>
        <w:rPr>
          <w:sz w:val="24"/>
          <w:szCs w:val="24"/>
          <w:highlight w:val="white"/>
          <w:shd w:val="clear" w:color="auto" w:fill="FEFEFE"/>
        </w:rPr>
      </w:pPr>
    </w:p>
    <w:p w14:paraId="0EC0A398"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B2429F">
        <w:rPr>
          <w:sz w:val="24"/>
          <w:szCs w:val="24"/>
          <w:shd w:val="clear" w:color="auto" w:fill="FEFEFE"/>
        </w:rPr>
        <w:t>„Авансово плащане“ е плащане по смисъла на чл. 63 на Регламент (ЕС) № 1305/2013 г.</w:t>
      </w:r>
    </w:p>
    <w:p w14:paraId="0F50B05A"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 xml:space="preserve">„Административен договор“ е </w:t>
      </w:r>
      <w:r>
        <w:rPr>
          <w:sz w:val="24"/>
          <w:szCs w:val="24"/>
          <w:shd w:val="clear" w:color="auto" w:fill="FEFEFE"/>
        </w:rPr>
        <w:t xml:space="preserve">договор по смисъла на §1, т. 1 от допълнителните разпоредби на ЗУСЕСИФ, който съдържа </w:t>
      </w:r>
      <w:r w:rsidRPr="002E5CCC">
        <w:rPr>
          <w:sz w:val="24"/>
          <w:szCs w:val="24"/>
          <w:shd w:val="clear" w:color="auto" w:fill="FEFEFE"/>
        </w:rPr>
        <w:t xml:space="preserve">изрично волеизявление на изпълнителният директор на РА за предоставяне на безвъзмездна финансова помощ със средства по ПРСР 2014 </w:t>
      </w:r>
      <w:r>
        <w:rPr>
          <w:sz w:val="24"/>
          <w:szCs w:val="24"/>
          <w:shd w:val="clear" w:color="auto" w:fill="FEFEFE"/>
        </w:rPr>
        <w:t>– 2020 г.</w:t>
      </w:r>
    </w:p>
    <w:p w14:paraId="258A24AB"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 xml:space="preserve">„Болест” в лесозащитата е ненормални изменения (анатомични, физиологични или морфологични) в резултат на патологичен процес, предизвикан от чужди на горските видове причини и придружен от нарушения на функциите на организма и неговото устройство. Те могат да бъдат гъби, бактерии, </w:t>
      </w:r>
      <w:proofErr w:type="spellStart"/>
      <w:r w:rsidRPr="002E5CCC">
        <w:rPr>
          <w:sz w:val="24"/>
          <w:szCs w:val="24"/>
          <w:shd w:val="clear" w:color="auto" w:fill="FEFEFE"/>
        </w:rPr>
        <w:t>фитоплазми</w:t>
      </w:r>
      <w:proofErr w:type="spellEnd"/>
      <w:r w:rsidRPr="002E5CCC">
        <w:rPr>
          <w:sz w:val="24"/>
          <w:szCs w:val="24"/>
          <w:shd w:val="clear" w:color="auto" w:fill="FEFEFE"/>
        </w:rPr>
        <w:t>, вируси, а също и някои фактори на околната среда (високи и ниски температури, недостиг на влага, на хранителни вещества, замърсяване с химични вещества и др.).</w:t>
      </w:r>
    </w:p>
    <w:p w14:paraId="3FAD81E6"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 xml:space="preserve">„Водоизточник“ е землено-насипно или бетонно съоръжение за съхранение на вода, разположено в непосредствена близост до естествени водоизточници, хеликоптерни площадки и горски пътища за движение на противопожарни средства за гасене на горски пожари. Обемът обем на водоизточниците трябва да бъде не по-малък от 40 куб.м. и не повече от 100 куб.м. При необходимост може да се оборудва с технически средства за осигуряване на </w:t>
      </w:r>
      <w:proofErr w:type="spellStart"/>
      <w:r w:rsidRPr="002E5CCC">
        <w:rPr>
          <w:sz w:val="24"/>
          <w:szCs w:val="24"/>
          <w:shd w:val="clear" w:color="auto" w:fill="FEFEFE"/>
        </w:rPr>
        <w:t>водоползването</w:t>
      </w:r>
      <w:proofErr w:type="spellEnd"/>
      <w:r w:rsidRPr="002E5CCC">
        <w:rPr>
          <w:sz w:val="24"/>
          <w:szCs w:val="24"/>
          <w:shd w:val="clear" w:color="auto" w:fill="FEFEFE"/>
        </w:rPr>
        <w:t xml:space="preserve">. </w:t>
      </w:r>
      <w:proofErr w:type="spellStart"/>
      <w:r w:rsidRPr="002E5CCC">
        <w:rPr>
          <w:sz w:val="24"/>
          <w:szCs w:val="24"/>
          <w:shd w:val="clear" w:color="auto" w:fill="FEFEFE"/>
        </w:rPr>
        <w:t>Отстоянието</w:t>
      </w:r>
      <w:proofErr w:type="spellEnd"/>
      <w:r w:rsidRPr="002E5CCC">
        <w:rPr>
          <w:sz w:val="24"/>
          <w:szCs w:val="24"/>
          <w:shd w:val="clear" w:color="auto" w:fill="FEFEFE"/>
        </w:rPr>
        <w:t xml:space="preserve"> на водоизточника от горските масиви, които е предназначен да обслужва трябва да бъде не повече от 5 </w:t>
      </w:r>
      <w:proofErr w:type="spellStart"/>
      <w:r w:rsidRPr="002E5CCC">
        <w:rPr>
          <w:sz w:val="24"/>
          <w:szCs w:val="24"/>
          <w:shd w:val="clear" w:color="auto" w:fill="FEFEFE"/>
        </w:rPr>
        <w:t>km</w:t>
      </w:r>
      <w:proofErr w:type="spellEnd"/>
      <w:r w:rsidRPr="002E5CCC">
        <w:rPr>
          <w:sz w:val="24"/>
          <w:szCs w:val="24"/>
          <w:shd w:val="clear" w:color="auto" w:fill="FEFEFE"/>
        </w:rPr>
        <w:t>;</w:t>
      </w:r>
    </w:p>
    <w:p w14:paraId="7E5D1CDB"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„Вредители“ са насекоми и други животински видове, причиняващи стопански или екологично значими нарушения в горите.</w:t>
      </w:r>
      <w:r w:rsidRPr="002E5CCC" w:rsidDel="009264E7">
        <w:rPr>
          <w:sz w:val="24"/>
          <w:szCs w:val="24"/>
          <w:shd w:val="clear" w:color="auto" w:fill="FEFEFE"/>
        </w:rPr>
        <w:t xml:space="preserve">  </w:t>
      </w:r>
    </w:p>
    <w:p w14:paraId="552908A0"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„Гора“ по смисъла на тази наредба са:</w:t>
      </w:r>
    </w:p>
    <w:p w14:paraId="223CC0C3" w14:textId="77777777" w:rsidR="00913947"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lastRenderedPageBreak/>
        <w:t xml:space="preserve">а) земи, заети от </w:t>
      </w:r>
      <w:proofErr w:type="spellStart"/>
      <w:r w:rsidRPr="00B2429F">
        <w:rPr>
          <w:sz w:val="24"/>
          <w:szCs w:val="24"/>
          <w:shd w:val="clear" w:color="auto" w:fill="FEFEFE"/>
        </w:rPr>
        <w:t>горскодървесна</w:t>
      </w:r>
      <w:proofErr w:type="spellEnd"/>
      <w:r w:rsidRPr="00B2429F">
        <w:rPr>
          <w:sz w:val="24"/>
          <w:szCs w:val="24"/>
          <w:shd w:val="clear" w:color="auto" w:fill="FEFEFE"/>
        </w:rPr>
        <w:t xml:space="preserve"> растителност с площ не по-малка от един декар, височина на </w:t>
      </w:r>
      <w:proofErr w:type="spellStart"/>
      <w:r w:rsidRPr="00B2429F">
        <w:rPr>
          <w:sz w:val="24"/>
          <w:szCs w:val="24"/>
          <w:shd w:val="clear" w:color="auto" w:fill="FEFEFE"/>
        </w:rPr>
        <w:t>дървостоя</w:t>
      </w:r>
      <w:proofErr w:type="spellEnd"/>
      <w:r w:rsidRPr="00B2429F">
        <w:rPr>
          <w:sz w:val="24"/>
          <w:szCs w:val="24"/>
          <w:shd w:val="clear" w:color="auto" w:fill="FEFEFE"/>
        </w:rPr>
        <w:t xml:space="preserve"> в зряла възраст не по-малко от 5 м, широчина на насаждението, измерена между стъблата на крайните дървета, не по-малко от 10 м, и проекция на короните не по-малка от 10 на сто от площта на насаждението;</w:t>
      </w:r>
    </w:p>
    <w:p w14:paraId="0FBBBC21" w14:textId="77777777" w:rsidR="00913947"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б) площи, които са в процес на възобновяване и все още не са достигнали, но се очаква да достигнат минимална проекция на короните 10 на сто и височина на дърветата 5 м;</w:t>
      </w:r>
    </w:p>
    <w:p w14:paraId="302CF5D0" w14:textId="77777777" w:rsidR="00913947"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в) площи, които в резултат на антропогенна дейност или естествени причини са временно обезлесени, но подлежат на възобновяване;</w:t>
      </w:r>
    </w:p>
    <w:p w14:paraId="47DEEC67" w14:textId="77777777" w:rsidR="00913947"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г) защитни горски пояси, както и ивици от дървета с площ, по-голяма от един декар, и широчина над 10 м;</w:t>
      </w:r>
    </w:p>
    <w:p w14:paraId="4E1FFBF7" w14:textId="77777777" w:rsidR="00913947"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д) насаждения в системи и съоръжения за предпазване от вредното въздействие на водите;</w:t>
      </w:r>
    </w:p>
    <w:p w14:paraId="3C1216AF" w14:textId="77777777" w:rsidR="00913947" w:rsidRDefault="00913947" w:rsidP="00913947">
      <w:pPr>
        <w:pStyle w:val="ListParagraph"/>
        <w:spacing w:before="240" w:after="240" w:line="360" w:lineRule="auto"/>
        <w:ind w:left="0" w:firstLine="567"/>
        <w:jc w:val="both"/>
        <w:rPr>
          <w:sz w:val="24"/>
          <w:szCs w:val="24"/>
          <w:shd w:val="clear" w:color="auto" w:fill="FEFEFE"/>
        </w:rPr>
      </w:pPr>
      <w:r>
        <w:rPr>
          <w:sz w:val="24"/>
          <w:szCs w:val="24"/>
          <w:shd w:val="clear" w:color="auto" w:fill="FEFEFE"/>
        </w:rPr>
        <w:t>е) клекови формации.</w:t>
      </w:r>
    </w:p>
    <w:p w14:paraId="1CFD1D41"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4A19A9">
        <w:rPr>
          <w:sz w:val="24"/>
          <w:szCs w:val="24"/>
          <w:shd w:val="clear" w:color="auto" w:fill="FEFEFE"/>
        </w:rPr>
        <w:t xml:space="preserve">„Горски пътища“ са трайни инженерни съоръжения за бърз достъп с транспортни противопожарни средства за гасене на горски пожари до </w:t>
      </w:r>
      <w:proofErr w:type="spellStart"/>
      <w:r w:rsidRPr="004A19A9">
        <w:rPr>
          <w:sz w:val="24"/>
          <w:szCs w:val="24"/>
          <w:shd w:val="clear" w:color="auto" w:fill="FEFEFE"/>
        </w:rPr>
        <w:t>пожароопасни</w:t>
      </w:r>
      <w:proofErr w:type="spellEnd"/>
      <w:r w:rsidRPr="004A19A9">
        <w:rPr>
          <w:sz w:val="24"/>
          <w:szCs w:val="24"/>
          <w:shd w:val="clear" w:color="auto" w:fill="FEFEFE"/>
        </w:rPr>
        <w:t xml:space="preserve"> райони при възникване на пожари, както и за достъп до водоизточници за борба с пожарите, които са предвидени за изпълнение в плановете за дейностите по опазване на горските територии от пожари. Характеристиките на горските пътища за движение на противопожарни средства за гасене на горски пожари трябва да отговарят на заложените в Приложение № 39 към чл. 134, ал. 2 на Наредба № 18 от 7.10.2015 г. за инвентаризация и планиране в горските територии.</w:t>
      </w:r>
    </w:p>
    <w:p w14:paraId="35580CBF"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бенефициенти, предвид постигането на поставените цели в ПРСР</w:t>
      </w:r>
      <w:r>
        <w:rPr>
          <w:sz w:val="24"/>
          <w:szCs w:val="24"/>
          <w:shd w:val="clear" w:color="auto" w:fill="FEFEFE"/>
        </w:rPr>
        <w:t xml:space="preserve"> </w:t>
      </w:r>
      <w:r w:rsidRPr="002E5CCC">
        <w:rPr>
          <w:sz w:val="24"/>
          <w:szCs w:val="24"/>
          <w:shd w:val="clear" w:color="auto" w:fill="FEFEFE"/>
        </w:rPr>
        <w:t>2014 - 2020 г.</w:t>
      </w:r>
    </w:p>
    <w:p w14:paraId="0DEDD5D4"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highlight w:val="white"/>
          <w:shd w:val="clear" w:color="auto" w:fill="FEFEFE"/>
        </w:rPr>
        <w:t>„Ден“ е календарен ден, освен ако не е предвидено друго.</w:t>
      </w:r>
    </w:p>
    <w:p w14:paraId="7830E2B4"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lastRenderedPageBreak/>
        <w:t>„</w:t>
      </w:r>
      <w:proofErr w:type="spellStart"/>
      <w:r w:rsidRPr="002E5CCC">
        <w:rPr>
          <w:sz w:val="24"/>
          <w:szCs w:val="24"/>
          <w:shd w:val="clear" w:color="auto" w:fill="FEFEFE"/>
        </w:rPr>
        <w:t>Епифитотия</w:t>
      </w:r>
      <w:proofErr w:type="spellEnd"/>
      <w:r w:rsidRPr="002E5CCC">
        <w:rPr>
          <w:sz w:val="24"/>
          <w:szCs w:val="24"/>
          <w:shd w:val="clear" w:color="auto" w:fill="FEFEFE"/>
        </w:rPr>
        <w:t>“ е масова поява на болест, свързана с рязко нарастване честотата на заболяване и нанасяне на значителни повреди по растенията.</w:t>
      </w:r>
    </w:p>
    <w:p w14:paraId="0676188B"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highlight w:val="white"/>
          <w:shd w:val="clear" w:color="auto" w:fill="FEFEFE"/>
        </w:rPr>
        <w:t>„ЕО“ е съкращение на Европейската общност.</w:t>
      </w:r>
    </w:p>
    <w:p w14:paraId="7B98376D"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„Загуби на доход</w:t>
      </w:r>
      <w:r w:rsidRPr="002E5CCC">
        <w:rPr>
          <w:sz w:val="24"/>
          <w:szCs w:val="24"/>
          <w:shd w:val="clear" w:color="auto" w:fill="FEFEFE"/>
          <w:lang w:val="ru-RU"/>
        </w:rPr>
        <w:t xml:space="preserve">” </w:t>
      </w:r>
      <w:r w:rsidRPr="002E5CCC">
        <w:rPr>
          <w:sz w:val="24"/>
          <w:szCs w:val="24"/>
          <w:shd w:val="clear" w:color="auto" w:fill="FEFEFE"/>
        </w:rPr>
        <w:t>са потенциалните доходи, очаквани за получаване от горски територии, преди да бъдат унищожени вследствие на пожари, природни бедствия, неблагоприятни климатични събития, които могат да бъдат приравнени на природни бедствия, други неблагоприятни климатични и катастрофични събития</w:t>
      </w:r>
      <w:r>
        <w:rPr>
          <w:sz w:val="24"/>
          <w:szCs w:val="24"/>
          <w:shd w:val="clear" w:color="auto" w:fill="FEFEFE"/>
        </w:rPr>
        <w:t>.</w:t>
      </w:r>
      <w:r w:rsidRPr="002E5CCC" w:rsidDel="001B5BE7">
        <w:rPr>
          <w:sz w:val="24"/>
          <w:szCs w:val="24"/>
          <w:shd w:val="clear" w:color="auto" w:fill="FEFEFE"/>
        </w:rPr>
        <w:t xml:space="preserve"> </w:t>
      </w:r>
      <w:r w:rsidRPr="002E5CCC">
        <w:rPr>
          <w:sz w:val="24"/>
          <w:szCs w:val="24"/>
          <w:shd w:val="clear" w:color="auto" w:fill="FEFEFE"/>
        </w:rPr>
        <w:t xml:space="preserve"> </w:t>
      </w:r>
    </w:p>
    <w:p w14:paraId="199353E0"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„Извършване на специализирани наблюдения на вредителите, които могат да причинят бедствие“ се осъществява чрез средства, методи и технологии.</w:t>
      </w:r>
    </w:p>
    <w:p w14:paraId="440574D8"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„Изкуствено създадени условия“ е всяко установено условие по смисъла на чл. 60 от Регламент (ЕС) № 1306/2013.</w:t>
      </w:r>
    </w:p>
    <w:p w14:paraId="20604C5A"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w:t>
      </w:r>
      <w:proofErr w:type="spellStart"/>
      <w:r w:rsidRPr="002E5CCC">
        <w:rPr>
          <w:sz w:val="24"/>
          <w:szCs w:val="24"/>
          <w:shd w:val="clear" w:color="auto" w:fill="FEFEFE"/>
        </w:rPr>
        <w:t>Каламитет</w:t>
      </w:r>
      <w:proofErr w:type="spellEnd"/>
      <w:r w:rsidRPr="002E5CCC">
        <w:rPr>
          <w:sz w:val="24"/>
          <w:szCs w:val="24"/>
          <w:shd w:val="clear" w:color="auto" w:fill="FEFEFE"/>
        </w:rPr>
        <w:t>“ е масова поява на насекомни вредители, свързана с нанасянето на значителни повреди по растенията.</w:t>
      </w:r>
    </w:p>
    <w:p w14:paraId="295DCFEB"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highlight w:val="white"/>
          <w:shd w:val="clear" w:color="auto" w:fill="FEFEFE"/>
        </w:rPr>
        <w:t>„</w:t>
      </w:r>
      <w:proofErr w:type="spellStart"/>
      <w:r w:rsidRPr="002E5CCC">
        <w:rPr>
          <w:sz w:val="24"/>
          <w:szCs w:val="24"/>
          <w:highlight w:val="white"/>
          <w:shd w:val="clear" w:color="auto" w:fill="FEFEFE"/>
        </w:rPr>
        <w:t>Катастрофично</w:t>
      </w:r>
      <w:proofErr w:type="spellEnd"/>
      <w:r w:rsidRPr="002E5CCC">
        <w:rPr>
          <w:sz w:val="24"/>
          <w:szCs w:val="24"/>
          <w:highlight w:val="white"/>
          <w:shd w:val="clear" w:color="auto" w:fill="FEFEFE"/>
        </w:rPr>
        <w:t xml:space="preserve"> събитие“ е</w:t>
      </w:r>
      <w:r w:rsidRPr="002E5CCC">
        <w:rPr>
          <w:rFonts w:ascii="Verdana" w:hAnsi="Verdana" w:cs="Tahoma"/>
          <w:lang w:eastAsia="bg-BG"/>
        </w:rPr>
        <w:t xml:space="preserve"> </w:t>
      </w:r>
      <w:r w:rsidRPr="002E5CCC">
        <w:rPr>
          <w:sz w:val="24"/>
          <w:szCs w:val="24"/>
          <w:highlight w:val="white"/>
          <w:shd w:val="clear" w:color="auto" w:fill="FEFEFE"/>
        </w:rPr>
        <w:t xml:space="preserve">непредвидено събитие, свързано с живата или неживата природа, което е предизвикано от човешка дейност, води до съществени нарушения на горските структури и евентуално причинява сериозни икономически щети на горския сектор. </w:t>
      </w:r>
    </w:p>
    <w:p w14:paraId="0EFE3F31" w14:textId="7E9C030B" w:rsidR="00913947" w:rsidRPr="00B7387D"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B7387D">
        <w:rPr>
          <w:sz w:val="24"/>
          <w:szCs w:val="24"/>
          <w:shd w:val="clear" w:color="auto" w:fill="FEFEFE"/>
        </w:rPr>
        <w:t>„Комуникационно оборудване“ е оборудване и технически средства, използвани за предаване на информация от наблюдателния пункт до центъра за приемане и обобщаване на информацията с цел предприемане на мерки за превенция, локализиране и овладяв</w:t>
      </w:r>
      <w:r w:rsidR="00B7387D">
        <w:rPr>
          <w:sz w:val="24"/>
          <w:szCs w:val="24"/>
          <w:shd w:val="clear" w:color="auto" w:fill="FEFEFE"/>
        </w:rPr>
        <w:t>ане на възникнали горски пожари</w:t>
      </w:r>
      <w:r w:rsidRPr="00B7387D">
        <w:rPr>
          <w:sz w:val="24"/>
          <w:szCs w:val="24"/>
          <w:shd w:val="clear" w:color="auto" w:fill="FEFEFE"/>
        </w:rPr>
        <w:t>.</w:t>
      </w:r>
    </w:p>
    <w:p w14:paraId="4ACB05F4"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 xml:space="preserve"> „Контрол числеността на популациите” е комплекс от мероприятия, средства, методи и технологии за намаляване числеността на популациите на вредителите.</w:t>
      </w:r>
    </w:p>
    <w:p w14:paraId="69B04298"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„Лабораторно и друго специализирано оборудване” е оборудването необходимо за установяване и анализ на нападенията от вредители и болести, които могат да причинят бедствие.</w:t>
      </w:r>
    </w:p>
    <w:p w14:paraId="29F7C312"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lastRenderedPageBreak/>
        <w:t>„</w:t>
      </w:r>
      <w:proofErr w:type="spellStart"/>
      <w:r w:rsidRPr="002E5CCC">
        <w:rPr>
          <w:sz w:val="24"/>
          <w:szCs w:val="24"/>
          <w:shd w:val="clear" w:color="auto" w:fill="FEFEFE"/>
        </w:rPr>
        <w:t>Лесокултурна</w:t>
      </w:r>
      <w:proofErr w:type="spellEnd"/>
      <w:r w:rsidRPr="002E5CCC">
        <w:rPr>
          <w:sz w:val="24"/>
          <w:szCs w:val="24"/>
          <w:shd w:val="clear" w:color="auto" w:fill="FEFEFE"/>
        </w:rPr>
        <w:t xml:space="preserve"> преграда“ е изкуствено построена противопожарна преграда, почистена от всички </w:t>
      </w:r>
      <w:proofErr w:type="spellStart"/>
      <w:r w:rsidRPr="002E5CCC">
        <w:rPr>
          <w:sz w:val="24"/>
          <w:szCs w:val="24"/>
          <w:shd w:val="clear" w:color="auto" w:fill="FEFEFE"/>
        </w:rPr>
        <w:t>горими</w:t>
      </w:r>
      <w:proofErr w:type="spellEnd"/>
      <w:r w:rsidRPr="002E5CCC">
        <w:rPr>
          <w:sz w:val="24"/>
          <w:szCs w:val="24"/>
          <w:shd w:val="clear" w:color="auto" w:fill="FEFEFE"/>
        </w:rPr>
        <w:t xml:space="preserve"> материали - мъртви и зелени, които могат да поддържат развитието на горски пожар - суха трева, храсти, </w:t>
      </w:r>
      <w:proofErr w:type="spellStart"/>
      <w:r w:rsidRPr="002E5CCC">
        <w:rPr>
          <w:sz w:val="24"/>
          <w:szCs w:val="24"/>
          <w:shd w:val="clear" w:color="auto" w:fill="FEFEFE"/>
        </w:rPr>
        <w:t>отпад</w:t>
      </w:r>
      <w:proofErr w:type="spellEnd"/>
      <w:r w:rsidRPr="002E5CCC">
        <w:rPr>
          <w:sz w:val="24"/>
          <w:szCs w:val="24"/>
          <w:shd w:val="clear" w:color="auto" w:fill="FEFEFE"/>
        </w:rPr>
        <w:t xml:space="preserve"> от дървесна растителност, но без да бъде разкрит минералният почвен слой. Параметрите на </w:t>
      </w:r>
      <w:proofErr w:type="spellStart"/>
      <w:r w:rsidRPr="002E5CCC">
        <w:rPr>
          <w:sz w:val="24"/>
          <w:szCs w:val="24"/>
          <w:shd w:val="clear" w:color="auto" w:fill="FEFEFE"/>
        </w:rPr>
        <w:t>лесокултурните</w:t>
      </w:r>
      <w:proofErr w:type="spellEnd"/>
      <w:r w:rsidRPr="002E5CCC">
        <w:rPr>
          <w:sz w:val="24"/>
          <w:szCs w:val="24"/>
          <w:shd w:val="clear" w:color="auto" w:fill="FEFEFE"/>
        </w:rPr>
        <w:t xml:space="preserve"> прегради трябва да отговарят на заложените в Приложение № 39 към чл. 134, ал. 2 на Наредба № 18 от 7.10.2015 г. за инвентаризация и планиране в горските територии.</w:t>
      </w:r>
    </w:p>
    <w:p w14:paraId="21035B10" w14:textId="77777777" w:rsidR="00913947" w:rsidRDefault="00913947" w:rsidP="00913947">
      <w:pPr>
        <w:pStyle w:val="ListParagraph"/>
        <w:numPr>
          <w:ilvl w:val="0"/>
          <w:numId w:val="1"/>
        </w:numPr>
        <w:spacing w:before="240" w:after="240" w:line="360" w:lineRule="auto"/>
        <w:ind w:left="0" w:firstLine="851"/>
        <w:jc w:val="both"/>
        <w:rPr>
          <w:sz w:val="24"/>
          <w:szCs w:val="24"/>
          <w:highlight w:val="white"/>
          <w:shd w:val="clear" w:color="auto" w:fill="FEFEFE"/>
        </w:rPr>
      </w:pPr>
      <w:r w:rsidRPr="002E5CCC">
        <w:rPr>
          <w:sz w:val="24"/>
          <w:szCs w:val="24"/>
          <w:highlight w:val="white"/>
          <w:shd w:val="clear" w:color="auto" w:fill="FEFEFE"/>
        </w:rPr>
        <w:t>„Ловни дървета“ са живи иглолистни дървета, които се отсичат и оставят да бъдат заселени със стъблени вредители (корояди).</w:t>
      </w:r>
    </w:p>
    <w:p w14:paraId="18C94045"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highlight w:val="white"/>
          <w:shd w:val="clear" w:color="auto" w:fill="FEFEFE"/>
        </w:rPr>
        <w:t>„Материални и нематериални активи“ са понятия по смисъла на Регламент (ЕО) № 1628/2006 на Комисията от 24 октомври 2006 г. за прилагане на членове 87 и 88 от Договора по отношение на националната регионална инвестиционна помощ (ОВ L 302, 01.11.2006 г.).</w:t>
      </w:r>
    </w:p>
    <w:p w14:paraId="7BB3472B"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 xml:space="preserve">„Масово развитие на болести или </w:t>
      </w:r>
      <w:proofErr w:type="spellStart"/>
      <w:r w:rsidRPr="002E5CCC">
        <w:rPr>
          <w:sz w:val="24"/>
          <w:szCs w:val="24"/>
          <w:shd w:val="clear" w:color="auto" w:fill="FEFEFE"/>
        </w:rPr>
        <w:t>каламитети</w:t>
      </w:r>
      <w:proofErr w:type="spellEnd"/>
      <w:r w:rsidRPr="002E5CCC">
        <w:rPr>
          <w:sz w:val="24"/>
          <w:szCs w:val="24"/>
          <w:shd w:val="clear" w:color="auto" w:fill="FEFEFE"/>
        </w:rPr>
        <w:t xml:space="preserve"> на вредители” е в случаите, когато са силно нападнати повече от 20% от площта на съответните дървесни видове в страната или е засегната горската територия на повече от една област.</w:t>
      </w:r>
    </w:p>
    <w:p w14:paraId="27BE2DFD"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„Междинно плащане“ е плащане за обособена част от одобрената и извършена инвестиция.</w:t>
      </w:r>
    </w:p>
    <w:p w14:paraId="45F71601"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w:t>
      </w:r>
      <w:proofErr w:type="spellStart"/>
      <w:r w:rsidRPr="002E5CCC">
        <w:rPr>
          <w:sz w:val="24"/>
          <w:szCs w:val="24"/>
          <w:shd w:val="clear" w:color="auto" w:fill="FEFEFE"/>
        </w:rPr>
        <w:t>Минерализована</w:t>
      </w:r>
      <w:proofErr w:type="spellEnd"/>
      <w:r w:rsidRPr="002E5CCC">
        <w:rPr>
          <w:sz w:val="24"/>
          <w:szCs w:val="24"/>
          <w:shd w:val="clear" w:color="auto" w:fill="FEFEFE"/>
        </w:rPr>
        <w:t xml:space="preserve"> ивица“ е изкуствено построена противопожарна преграда, почистена от всички </w:t>
      </w:r>
      <w:proofErr w:type="spellStart"/>
      <w:r w:rsidRPr="002E5CCC">
        <w:rPr>
          <w:sz w:val="24"/>
          <w:szCs w:val="24"/>
          <w:shd w:val="clear" w:color="auto" w:fill="FEFEFE"/>
        </w:rPr>
        <w:t>горими</w:t>
      </w:r>
      <w:proofErr w:type="spellEnd"/>
      <w:r w:rsidRPr="002E5CCC">
        <w:rPr>
          <w:sz w:val="24"/>
          <w:szCs w:val="24"/>
          <w:shd w:val="clear" w:color="auto" w:fill="FEFEFE"/>
        </w:rPr>
        <w:t xml:space="preserve"> материали до минералния почвен слой. Параметрите на </w:t>
      </w:r>
      <w:proofErr w:type="spellStart"/>
      <w:r w:rsidRPr="002E5CCC">
        <w:rPr>
          <w:sz w:val="24"/>
          <w:szCs w:val="24"/>
          <w:shd w:val="clear" w:color="auto" w:fill="FEFEFE"/>
        </w:rPr>
        <w:t>минерализованите</w:t>
      </w:r>
      <w:proofErr w:type="spellEnd"/>
      <w:r w:rsidRPr="002E5CCC">
        <w:rPr>
          <w:sz w:val="24"/>
          <w:szCs w:val="24"/>
          <w:shd w:val="clear" w:color="auto" w:fill="FEFEFE"/>
        </w:rPr>
        <w:t xml:space="preserve"> ивици трябва да отговарят на заложените в Приложение № 39 към чл. 134, ал. 2 на Наредба № 18 от 7.10.2015 г. за инвентаризация и планиране в горските територии.</w:t>
      </w:r>
    </w:p>
    <w:p w14:paraId="33140F10"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„Мярка“ е съвкупност от дейности, спомагащи за прилагане на приоритетите на ПРСР.</w:t>
      </w:r>
    </w:p>
    <w:p w14:paraId="2392A577"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 xml:space="preserve">„Наблюдателен пункт“ е автоматизирана наблюдателна кула, оборудвана с технологични средства или помещение за наблюдение, откриване и оповестяване възникването на горски пожари. Разположението на пунктовете и съпътстващата ги </w:t>
      </w:r>
      <w:r w:rsidRPr="002E5CCC">
        <w:rPr>
          <w:sz w:val="24"/>
          <w:szCs w:val="24"/>
          <w:shd w:val="clear" w:color="auto" w:fill="FEFEFE"/>
        </w:rPr>
        <w:lastRenderedPageBreak/>
        <w:t>инфраструктура се определят в схемата за тяхното разполагане.</w:t>
      </w:r>
    </w:p>
    <w:p w14:paraId="4BE2991A" w14:textId="77777777" w:rsidR="00913947" w:rsidRPr="002E5CCC"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2E5CCC">
        <w:rPr>
          <w:sz w:val="24"/>
          <w:szCs w:val="24"/>
          <w:shd w:val="clear" w:color="auto" w:fill="FEFEFE"/>
        </w:rPr>
        <w:t>„Независими оферти” са оферти, подадени от лица, които не се намират в следната свързаност помежду си или спрямо кандидата:</w:t>
      </w:r>
    </w:p>
    <w:p w14:paraId="4F18503D" w14:textId="77777777" w:rsidR="00913947" w:rsidRPr="00B2429F" w:rsidRDefault="00913947" w:rsidP="00913947">
      <w:pPr>
        <w:pStyle w:val="ListParagraph"/>
        <w:spacing w:before="240" w:after="240" w:line="360" w:lineRule="auto"/>
        <w:ind w:left="0" w:firstLine="567"/>
        <w:jc w:val="both"/>
        <w:rPr>
          <w:sz w:val="24"/>
          <w:szCs w:val="24"/>
          <w:shd w:val="clear" w:color="auto" w:fill="FEFEFE"/>
        </w:rPr>
      </w:pPr>
      <w:r w:rsidRPr="00846F07">
        <w:rPr>
          <w:sz w:val="24"/>
          <w:szCs w:val="24"/>
          <w:shd w:val="clear" w:color="auto" w:fill="FEFEFE"/>
        </w:rPr>
        <w:t>а</w:t>
      </w:r>
      <w:r w:rsidRPr="00B2429F">
        <w:rPr>
          <w:sz w:val="24"/>
          <w:szCs w:val="24"/>
          <w:shd w:val="clear" w:color="auto" w:fill="FEFEFE"/>
        </w:rPr>
        <w:t>) едното участва в управлението на дружеството на другото;</w:t>
      </w:r>
    </w:p>
    <w:p w14:paraId="72CB0D2C" w14:textId="77777777" w:rsidR="00913947" w:rsidRPr="00B2429F"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б) съдружници;</w:t>
      </w:r>
    </w:p>
    <w:p w14:paraId="72C54917" w14:textId="77777777" w:rsidR="00913947" w:rsidRPr="00B2429F"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в) съвместно контролират пряко трето лице;</w:t>
      </w:r>
    </w:p>
    <w:p w14:paraId="1591FE28" w14:textId="77777777" w:rsidR="00913947" w:rsidRPr="00B2429F"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г) участват пряко в управлението или капитала на друго лице, поради което между тях могат да се уговарят условия, различни от обичайните;</w:t>
      </w:r>
    </w:p>
    <w:p w14:paraId="1CCFEF51" w14:textId="77777777" w:rsidR="00913947" w:rsidRPr="00B2429F"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д) едното лице притежава повече от половината от броя на гласовете в общото събрание на другото лице;</w:t>
      </w:r>
    </w:p>
    <w:p w14:paraId="701CC566" w14:textId="77777777" w:rsidR="00913947" w:rsidRPr="00B2429F"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е) лицата, чиято дейност се контролира пряко или косвено от трето лице - физическо или юридическо;</w:t>
      </w:r>
    </w:p>
    <w:p w14:paraId="1ACDC521" w14:textId="77777777" w:rsidR="00913947" w:rsidRDefault="00913947" w:rsidP="00913947">
      <w:pPr>
        <w:pStyle w:val="ListParagraph"/>
        <w:tabs>
          <w:tab w:val="left" w:pos="7665"/>
        </w:tabs>
        <w:spacing w:before="240" w:after="240" w:line="360" w:lineRule="auto"/>
        <w:ind w:left="0" w:firstLine="567"/>
        <w:jc w:val="both"/>
        <w:rPr>
          <w:sz w:val="24"/>
          <w:szCs w:val="24"/>
          <w:shd w:val="clear" w:color="auto" w:fill="FEFEFE"/>
        </w:rPr>
      </w:pPr>
      <w:r w:rsidRPr="00B2429F">
        <w:rPr>
          <w:sz w:val="24"/>
          <w:szCs w:val="24"/>
          <w:shd w:val="clear" w:color="auto" w:fill="FEFEFE"/>
        </w:rPr>
        <w:t>ж) лицата, едното от които е търговски представител на другото.</w:t>
      </w:r>
    </w:p>
    <w:p w14:paraId="63104C31"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Pr>
          <w:sz w:val="24"/>
          <w:szCs w:val="24"/>
          <w:shd w:val="clear" w:color="auto" w:fill="FEFEFE"/>
        </w:rPr>
        <w:t xml:space="preserve">„Непредвидени разходи“ са разходи, възникнали в резултат на работи 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количествено-стойностните сметки към </w:t>
      </w:r>
      <w:r w:rsidRPr="00940DB2">
        <w:rPr>
          <w:sz w:val="24"/>
          <w:szCs w:val="24"/>
          <w:shd w:val="clear" w:color="auto" w:fill="FEFEFE"/>
        </w:rPr>
        <w:t>проектното предложение</w:t>
      </w:r>
      <w:r>
        <w:rPr>
          <w:sz w:val="24"/>
          <w:szCs w:val="24"/>
          <w:shd w:val="clear" w:color="auto" w:fill="FEFEFE"/>
        </w:rPr>
        <w:t xml:space="preserve">, или до нови строително-монтажни работи, за които са спазени условията за допустимост на разходите, предназначени за постигане на целите на </w:t>
      </w:r>
      <w:r w:rsidRPr="00940DB2">
        <w:rPr>
          <w:sz w:val="24"/>
          <w:szCs w:val="24"/>
          <w:shd w:val="clear" w:color="auto" w:fill="FEFEFE"/>
        </w:rPr>
        <w:t>проектното предложение</w:t>
      </w:r>
      <w:r>
        <w:rPr>
          <w:sz w:val="24"/>
          <w:szCs w:val="24"/>
          <w:shd w:val="clear" w:color="auto" w:fill="FEFEFE"/>
        </w:rPr>
        <w:t>. В случаите на бенефициенти, които са възложители по чл. 5 и 6 от ЗОП, новите строително-монтажни работи следва да бъдат възлагани по реда на ЗОП в случаите в него не са допуснати изключения.</w:t>
      </w:r>
    </w:p>
    <w:p w14:paraId="0347DF67"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„Непреодолима сила и извънредни обстоятелства“ са обстоятелства по смисъла на чл. 2, параграф 2 от Регламент (ЕС) № 1306/2013 г.</w:t>
      </w:r>
    </w:p>
    <w:p w14:paraId="77521F99"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 xml:space="preserve">„Нередност“ означава всяко нарушение на правото на ЕС или на националното право, свързано с прилагането на тази наредба, произтичащо от действие </w:t>
      </w:r>
      <w:r w:rsidRPr="00DF19C8">
        <w:rPr>
          <w:sz w:val="24"/>
          <w:szCs w:val="24"/>
          <w:shd w:val="clear" w:color="auto" w:fill="FEFEFE"/>
        </w:rPr>
        <w:lastRenderedPageBreak/>
        <w:t>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24931EBB"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„Обособена част от инвестицията“ е завършен етап на изпълнение на инвестицията, който е обособен и е доведен до самостоятелна степен на завършеност.</w:t>
      </w:r>
    </w:p>
    <w:p w14:paraId="3B0EB6F0"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highlight w:val="white"/>
          <w:shd w:val="clear" w:color="auto" w:fill="FEFEFE"/>
        </w:rPr>
        <w:t>„Обществен разход/вложение“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2004/18/EС на Европейския парламент и на Съвета от 31 март 2004 г. относно координирането на процедури за възлагане на договори за обществени работи, за обществени доставки и за обществени услуги (2), ще се разглежда като обществен дял.</w:t>
      </w:r>
    </w:p>
    <w:p w14:paraId="3E8CE835"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 xml:space="preserve">„Опасност за растенията и растителните продукти“ е </w:t>
      </w:r>
      <w:proofErr w:type="spellStart"/>
      <w:r w:rsidRPr="00DF19C8">
        <w:rPr>
          <w:sz w:val="24"/>
          <w:szCs w:val="24"/>
          <w:shd w:val="clear" w:color="auto" w:fill="FEFEFE"/>
        </w:rPr>
        <w:t>каламитет</w:t>
      </w:r>
      <w:proofErr w:type="spellEnd"/>
      <w:r w:rsidRPr="00DF19C8">
        <w:rPr>
          <w:sz w:val="24"/>
          <w:szCs w:val="24"/>
          <w:shd w:val="clear" w:color="auto" w:fill="FEFEFE"/>
        </w:rPr>
        <w:t xml:space="preserve"> или </w:t>
      </w:r>
      <w:proofErr w:type="spellStart"/>
      <w:r w:rsidRPr="00DF19C8">
        <w:rPr>
          <w:sz w:val="24"/>
          <w:szCs w:val="24"/>
          <w:shd w:val="clear" w:color="auto" w:fill="FEFEFE"/>
        </w:rPr>
        <w:t>епифитотия</w:t>
      </w:r>
      <w:proofErr w:type="spellEnd"/>
      <w:r w:rsidRPr="00DF19C8">
        <w:rPr>
          <w:sz w:val="24"/>
          <w:szCs w:val="24"/>
          <w:shd w:val="clear" w:color="auto" w:fill="FEFEFE"/>
        </w:rPr>
        <w:t>, или проникване, разпространение или масово намножаване на вредители по растенията и растителните продукти, или заплаха от проникване, разпространение или масово намножаване на вредители, водещи до значителни икономически загуби.</w:t>
      </w:r>
    </w:p>
    <w:p w14:paraId="3EB51CFC"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„Оперативни разходи” са административните разходи и разходите, свързани с поддръжка и експлоатация на активите.,</w:t>
      </w:r>
    </w:p>
    <w:p w14:paraId="4525C052"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 xml:space="preserve">„Паразит” е организъм, използващ за храна или като място за </w:t>
      </w:r>
      <w:proofErr w:type="spellStart"/>
      <w:r w:rsidRPr="00DF19C8">
        <w:rPr>
          <w:sz w:val="24"/>
          <w:szCs w:val="24"/>
          <w:shd w:val="clear" w:color="auto" w:fill="FEFEFE"/>
        </w:rPr>
        <w:t>обитание</w:t>
      </w:r>
      <w:proofErr w:type="spellEnd"/>
      <w:r w:rsidRPr="00DF19C8">
        <w:rPr>
          <w:sz w:val="24"/>
          <w:szCs w:val="24"/>
          <w:shd w:val="clear" w:color="auto" w:fill="FEFEFE"/>
        </w:rPr>
        <w:t xml:space="preserve"> друг организъм (</w:t>
      </w:r>
      <w:proofErr w:type="spellStart"/>
      <w:r w:rsidRPr="00DF19C8">
        <w:rPr>
          <w:sz w:val="24"/>
          <w:szCs w:val="24"/>
          <w:shd w:val="clear" w:color="auto" w:fill="FEFEFE"/>
        </w:rPr>
        <w:t>гостприемник</w:t>
      </w:r>
      <w:proofErr w:type="spellEnd"/>
      <w:r w:rsidRPr="00DF19C8">
        <w:rPr>
          <w:sz w:val="24"/>
          <w:szCs w:val="24"/>
          <w:shd w:val="clear" w:color="auto" w:fill="FEFEFE"/>
        </w:rPr>
        <w:t>).</w:t>
      </w:r>
    </w:p>
    <w:p w14:paraId="544FDC49"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w:t>
      </w:r>
      <w:proofErr w:type="spellStart"/>
      <w:r w:rsidRPr="00DF19C8">
        <w:rPr>
          <w:sz w:val="24"/>
          <w:szCs w:val="24"/>
          <w:shd w:val="clear" w:color="auto" w:fill="FEFEFE"/>
        </w:rPr>
        <w:t>Патоген</w:t>
      </w:r>
      <w:proofErr w:type="spellEnd"/>
      <w:r w:rsidRPr="00DF19C8">
        <w:rPr>
          <w:sz w:val="24"/>
          <w:szCs w:val="24"/>
          <w:shd w:val="clear" w:color="auto" w:fill="FEFEFE"/>
        </w:rPr>
        <w:t xml:space="preserve">” е всеки причинител (вирус, </w:t>
      </w:r>
      <w:proofErr w:type="spellStart"/>
      <w:r w:rsidRPr="00DF19C8">
        <w:rPr>
          <w:sz w:val="24"/>
          <w:szCs w:val="24"/>
          <w:shd w:val="clear" w:color="auto" w:fill="FEFEFE"/>
        </w:rPr>
        <w:t>вироид</w:t>
      </w:r>
      <w:proofErr w:type="spellEnd"/>
      <w:r w:rsidRPr="00DF19C8">
        <w:rPr>
          <w:sz w:val="24"/>
          <w:szCs w:val="24"/>
          <w:shd w:val="clear" w:color="auto" w:fill="FEFEFE"/>
        </w:rPr>
        <w:t xml:space="preserve">, </w:t>
      </w:r>
      <w:proofErr w:type="spellStart"/>
      <w:r w:rsidRPr="00DF19C8">
        <w:rPr>
          <w:sz w:val="24"/>
          <w:szCs w:val="24"/>
          <w:shd w:val="clear" w:color="auto" w:fill="FEFEFE"/>
        </w:rPr>
        <w:t>фитоплазма</w:t>
      </w:r>
      <w:proofErr w:type="spellEnd"/>
      <w:r w:rsidRPr="00DF19C8">
        <w:rPr>
          <w:sz w:val="24"/>
          <w:szCs w:val="24"/>
          <w:shd w:val="clear" w:color="auto" w:fill="FEFEFE"/>
        </w:rPr>
        <w:t xml:space="preserve">, </w:t>
      </w:r>
      <w:proofErr w:type="spellStart"/>
      <w:r w:rsidRPr="00DF19C8">
        <w:rPr>
          <w:sz w:val="24"/>
          <w:szCs w:val="24"/>
          <w:shd w:val="clear" w:color="auto" w:fill="FEFEFE"/>
        </w:rPr>
        <w:t>спироплазма</w:t>
      </w:r>
      <w:proofErr w:type="spellEnd"/>
      <w:r w:rsidRPr="00DF19C8">
        <w:rPr>
          <w:sz w:val="24"/>
          <w:szCs w:val="24"/>
          <w:shd w:val="clear" w:color="auto" w:fill="FEFEFE"/>
        </w:rPr>
        <w:t xml:space="preserve">, </w:t>
      </w:r>
      <w:proofErr w:type="spellStart"/>
      <w:r w:rsidRPr="00DF19C8">
        <w:rPr>
          <w:sz w:val="24"/>
          <w:szCs w:val="24"/>
          <w:shd w:val="clear" w:color="auto" w:fill="FEFEFE"/>
        </w:rPr>
        <w:t>рикетсия</w:t>
      </w:r>
      <w:proofErr w:type="spellEnd"/>
      <w:r w:rsidRPr="00DF19C8">
        <w:rPr>
          <w:sz w:val="24"/>
          <w:szCs w:val="24"/>
          <w:shd w:val="clear" w:color="auto" w:fill="FEFEFE"/>
        </w:rPr>
        <w:t xml:space="preserve">, бактерия, гъба и </w:t>
      </w:r>
      <w:proofErr w:type="spellStart"/>
      <w:r w:rsidRPr="00DF19C8">
        <w:rPr>
          <w:sz w:val="24"/>
          <w:szCs w:val="24"/>
          <w:shd w:val="clear" w:color="auto" w:fill="FEFEFE"/>
        </w:rPr>
        <w:t>протозоа</w:t>
      </w:r>
      <w:proofErr w:type="spellEnd"/>
      <w:r w:rsidRPr="00DF19C8">
        <w:rPr>
          <w:sz w:val="24"/>
          <w:szCs w:val="24"/>
          <w:shd w:val="clear" w:color="auto" w:fill="FEFEFE"/>
        </w:rPr>
        <w:t xml:space="preserve">), способен да предизвика заболяване на определен </w:t>
      </w:r>
      <w:proofErr w:type="spellStart"/>
      <w:r w:rsidRPr="00DF19C8">
        <w:rPr>
          <w:sz w:val="24"/>
          <w:szCs w:val="24"/>
          <w:shd w:val="clear" w:color="auto" w:fill="FEFEFE"/>
        </w:rPr>
        <w:t>гостоприемник</w:t>
      </w:r>
      <w:proofErr w:type="spellEnd"/>
      <w:r w:rsidRPr="00DF19C8">
        <w:rPr>
          <w:sz w:val="24"/>
          <w:szCs w:val="24"/>
          <w:shd w:val="clear" w:color="auto" w:fill="FEFEFE"/>
        </w:rPr>
        <w:t xml:space="preserve"> или кръг от </w:t>
      </w:r>
      <w:proofErr w:type="spellStart"/>
      <w:r w:rsidRPr="00DF19C8">
        <w:rPr>
          <w:sz w:val="24"/>
          <w:szCs w:val="24"/>
          <w:shd w:val="clear" w:color="auto" w:fill="FEFEFE"/>
        </w:rPr>
        <w:t>гостоприемници</w:t>
      </w:r>
      <w:proofErr w:type="spellEnd"/>
      <w:r w:rsidRPr="00DF19C8">
        <w:rPr>
          <w:sz w:val="24"/>
          <w:szCs w:val="24"/>
          <w:shd w:val="clear" w:color="auto" w:fill="FEFEFE"/>
        </w:rPr>
        <w:t>.</w:t>
      </w:r>
    </w:p>
    <w:p w14:paraId="16C2B5D6"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 xml:space="preserve">„План за дейностите по опазване на горските територии от пожари” е планът съгласно глава десета от Наредба № 18 от 7.10.2015 г. за инвентаризация и </w:t>
      </w:r>
      <w:r w:rsidRPr="00DF19C8">
        <w:rPr>
          <w:sz w:val="24"/>
          <w:szCs w:val="24"/>
          <w:shd w:val="clear" w:color="auto" w:fill="FEFEFE"/>
        </w:rPr>
        <w:lastRenderedPageBreak/>
        <w:t>планиране в горските територии</w:t>
      </w:r>
      <w:r>
        <w:rPr>
          <w:sz w:val="24"/>
          <w:szCs w:val="24"/>
          <w:shd w:val="clear" w:color="auto" w:fill="FEFEFE"/>
        </w:rPr>
        <w:t>.</w:t>
      </w:r>
    </w:p>
    <w:p w14:paraId="46C69A00"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 xml:space="preserve">„Подмярка“ е съвкупност от дейности, спомагащи за прилагане приоритетите на ПРСР 2014 - 2020 г. </w:t>
      </w:r>
    </w:p>
    <w:p w14:paraId="4C0EC1E0"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„Помещение за наблюдение, откриване и оповестяване възникването на горски пожари” е обособено помещение в административната сграда на кандидата/бенефициента, оборудвано с технологични средства за наблюдение, откриване и оповестяване възникването на горски пожари чрез наблюдателния/те пунктове.</w:t>
      </w:r>
    </w:p>
    <w:p w14:paraId="6D3079FA"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„Популация“ е съвкупност от индивидите на даден вид, притежаваща всички качества, за да поддържа числеността си в определена територия на характерно ниво.</w:t>
      </w:r>
    </w:p>
    <w:p w14:paraId="77C45039"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 xml:space="preserve">„Природни бедствия“ са земетресения, лавини, </w:t>
      </w:r>
      <w:proofErr w:type="spellStart"/>
      <w:r w:rsidRPr="00DF19C8">
        <w:rPr>
          <w:sz w:val="24"/>
          <w:szCs w:val="24"/>
          <w:shd w:val="clear" w:color="auto" w:fill="FEFEFE"/>
        </w:rPr>
        <w:t>свлачища</w:t>
      </w:r>
      <w:proofErr w:type="spellEnd"/>
      <w:r w:rsidRPr="00DF19C8">
        <w:rPr>
          <w:sz w:val="24"/>
          <w:szCs w:val="24"/>
          <w:shd w:val="clear" w:color="auto" w:fill="FEFEFE"/>
        </w:rPr>
        <w:t xml:space="preserve"> и наводнения, смерчове, урагани, вулканични изригвания и горски пожари, възникнали по естествен път. </w:t>
      </w:r>
    </w:p>
    <w:p w14:paraId="414683D5"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„Принос в натура“ е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14:paraId="493C5639"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„П</w:t>
      </w:r>
      <w:r w:rsidRPr="00940DB2">
        <w:rPr>
          <w:sz w:val="24"/>
          <w:szCs w:val="24"/>
          <w:shd w:val="clear" w:color="auto" w:fill="FEFEFE"/>
        </w:rPr>
        <w:t>роектн</w:t>
      </w:r>
      <w:r>
        <w:rPr>
          <w:sz w:val="24"/>
          <w:szCs w:val="24"/>
          <w:shd w:val="clear" w:color="auto" w:fill="FEFEFE"/>
        </w:rPr>
        <w:t>и</w:t>
      </w:r>
      <w:r w:rsidRPr="00940DB2">
        <w:rPr>
          <w:sz w:val="24"/>
          <w:szCs w:val="24"/>
          <w:shd w:val="clear" w:color="auto" w:fill="FEFEFE"/>
        </w:rPr>
        <w:t xml:space="preserve"> предложени</w:t>
      </w:r>
      <w:r>
        <w:rPr>
          <w:sz w:val="24"/>
          <w:szCs w:val="24"/>
          <w:shd w:val="clear" w:color="auto" w:fill="FEFEFE"/>
        </w:rPr>
        <w:t>я</w:t>
      </w:r>
      <w:r w:rsidRPr="00DF19C8">
        <w:rPr>
          <w:sz w:val="24"/>
          <w:szCs w:val="24"/>
          <w:shd w:val="clear" w:color="auto" w:fill="FEFEFE"/>
        </w:rPr>
        <w:t xml:space="preserve">, свързани със селскостопански дейности в райони, обхванати от </w:t>
      </w:r>
      <w:proofErr w:type="spellStart"/>
      <w:r w:rsidRPr="00DF19C8">
        <w:rPr>
          <w:sz w:val="24"/>
          <w:szCs w:val="24"/>
          <w:shd w:val="clear" w:color="auto" w:fill="FEFEFE"/>
        </w:rPr>
        <w:t>агроекологични</w:t>
      </w:r>
      <w:proofErr w:type="spellEnd"/>
      <w:r w:rsidRPr="00DF19C8">
        <w:rPr>
          <w:sz w:val="24"/>
          <w:szCs w:val="24"/>
          <w:shd w:val="clear" w:color="auto" w:fill="FEFEFE"/>
        </w:rPr>
        <w:t xml:space="preserve"> ангажименти” са проекти в райони със селскостопански дейности, обхванати от </w:t>
      </w:r>
      <w:proofErr w:type="spellStart"/>
      <w:r w:rsidRPr="00DF19C8">
        <w:rPr>
          <w:sz w:val="24"/>
          <w:szCs w:val="24"/>
          <w:shd w:val="clear" w:color="auto" w:fill="FEFEFE"/>
        </w:rPr>
        <w:t>агроекологични</w:t>
      </w:r>
      <w:proofErr w:type="spellEnd"/>
      <w:r w:rsidRPr="00DF19C8">
        <w:rPr>
          <w:sz w:val="24"/>
          <w:szCs w:val="24"/>
          <w:shd w:val="clear" w:color="auto" w:fill="FEFEFE"/>
        </w:rPr>
        <w:t xml:space="preserve"> ангажименти по мярка 10 „</w:t>
      </w:r>
      <w:proofErr w:type="spellStart"/>
      <w:r w:rsidRPr="00DF19C8">
        <w:rPr>
          <w:sz w:val="24"/>
          <w:szCs w:val="24"/>
          <w:shd w:val="clear" w:color="auto" w:fill="FEFEFE"/>
        </w:rPr>
        <w:t>Агроекология</w:t>
      </w:r>
      <w:proofErr w:type="spellEnd"/>
      <w:r w:rsidRPr="00DF19C8">
        <w:rPr>
          <w:sz w:val="24"/>
          <w:szCs w:val="24"/>
          <w:shd w:val="clear" w:color="auto" w:fill="FEFEFE"/>
        </w:rPr>
        <w:t xml:space="preserve"> и климат”, мярка 11 „Биологично земеделие” и мярка 12 „Плащания по Натура 2000 и Рамковата директива за водите“ от ПРСР 2014 – 2020 г. или сходни ангажименти по мярка 214 „</w:t>
      </w:r>
      <w:proofErr w:type="spellStart"/>
      <w:r w:rsidRPr="00DF19C8">
        <w:rPr>
          <w:sz w:val="24"/>
          <w:szCs w:val="24"/>
          <w:shd w:val="clear" w:color="auto" w:fill="FEFEFE"/>
        </w:rPr>
        <w:t>Агроекологични</w:t>
      </w:r>
      <w:proofErr w:type="spellEnd"/>
      <w:r w:rsidRPr="00DF19C8">
        <w:rPr>
          <w:sz w:val="24"/>
          <w:szCs w:val="24"/>
          <w:shd w:val="clear" w:color="auto" w:fill="FEFEFE"/>
        </w:rPr>
        <w:t xml:space="preserve"> плащания” от ПРСР 2007 – 2013 г.</w:t>
      </w:r>
    </w:p>
    <w:p w14:paraId="2AC4AC5D"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„Проверка на място“ е проверка по смисъла на Регламент (ЕС) № 809/2014.</w:t>
      </w:r>
    </w:p>
    <w:p w14:paraId="56153597"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w:t>
      </w:r>
      <w:r>
        <w:rPr>
          <w:sz w:val="24"/>
          <w:szCs w:val="24"/>
          <w:shd w:val="clear" w:color="auto" w:fill="FEFEFE"/>
        </w:rPr>
        <w:t>П</w:t>
      </w:r>
      <w:r w:rsidRPr="00940DB2">
        <w:rPr>
          <w:sz w:val="24"/>
          <w:szCs w:val="24"/>
          <w:shd w:val="clear" w:color="auto" w:fill="FEFEFE"/>
        </w:rPr>
        <w:t>роектно предложение</w:t>
      </w:r>
      <w:r w:rsidRPr="00DF19C8">
        <w:rPr>
          <w:sz w:val="24"/>
          <w:szCs w:val="24"/>
          <w:shd w:val="clear" w:color="auto" w:fill="FEFEFE"/>
        </w:rPr>
        <w:t>“ е формуляр за кандидатстване заедно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06B5B87A"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lastRenderedPageBreak/>
        <w:t xml:space="preserve">„Противопожарна просека“ е линейно техническо съоръжение за ограничаване разпространението на горски пожари. Прокарва се в гори, класифицирани с „висок риск“ и „среден риск“ от пожари, с размери и посока, определени с плана за противопожарно устройство или плана за дейностите по опазване на горските територии от пожари. Поддържат се чисти от сухи треви, растителни и други </w:t>
      </w:r>
      <w:proofErr w:type="spellStart"/>
      <w:r w:rsidRPr="00DF19C8">
        <w:rPr>
          <w:sz w:val="24"/>
          <w:szCs w:val="24"/>
          <w:shd w:val="clear" w:color="auto" w:fill="FEFEFE"/>
        </w:rPr>
        <w:t>горими</w:t>
      </w:r>
      <w:proofErr w:type="spellEnd"/>
      <w:r w:rsidRPr="00DF19C8">
        <w:rPr>
          <w:sz w:val="24"/>
          <w:szCs w:val="24"/>
          <w:shd w:val="clear" w:color="auto" w:fill="FEFEFE"/>
        </w:rPr>
        <w:t xml:space="preserve"> материали, а в определени случаи във вид на черна угар.</w:t>
      </w:r>
    </w:p>
    <w:p w14:paraId="0472D2E7"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p w14:paraId="44118C55"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 xml:space="preserve">„Разходи за консултантски услуги, свързани с подготовка и управление на </w:t>
      </w:r>
      <w:r w:rsidRPr="00E8458F">
        <w:rPr>
          <w:sz w:val="24"/>
          <w:szCs w:val="24"/>
          <w:shd w:val="clear" w:color="auto" w:fill="FEFEFE"/>
        </w:rPr>
        <w:t>проектното предложение</w:t>
      </w:r>
      <w:r w:rsidRPr="00DF19C8">
        <w:rPr>
          <w:sz w:val="24"/>
          <w:szCs w:val="24"/>
          <w:shd w:val="clear" w:color="auto" w:fill="FEFEFE"/>
        </w:rPr>
        <w:t xml:space="preserve">“ са 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w:t>
      </w:r>
      <w:r w:rsidRPr="00E8458F">
        <w:rPr>
          <w:sz w:val="24"/>
          <w:szCs w:val="24"/>
          <w:shd w:val="clear" w:color="auto" w:fill="FEFEFE"/>
        </w:rPr>
        <w:t>проектното предложение</w:t>
      </w:r>
      <w:r w:rsidRPr="00DF19C8">
        <w:rPr>
          <w:sz w:val="24"/>
          <w:szCs w:val="24"/>
          <w:shd w:val="clear" w:color="auto" w:fill="FEFEFE"/>
        </w:rPr>
        <w:t>.</w:t>
      </w:r>
    </w:p>
    <w:p w14:paraId="70417D5B"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„Разходи за инвестиции за обикновена подмяна“ са разходи за замяна на активи, които не водят до подобряване на цялостната дейност на кандидата/бенефициента.</w:t>
      </w:r>
    </w:p>
    <w:p w14:paraId="1B72FC27"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„Референтни разходи” са цени и пределни стойности, ползвани от РА за сравняване при определяне основателността на разходите за различни инвестиции.</w:t>
      </w:r>
    </w:p>
    <w:p w14:paraId="254033D2"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„Рефинансиране на лихви“ е възстановяване на извършените разходи за лихви по заеми.</w:t>
      </w:r>
    </w:p>
    <w:p w14:paraId="2B10B5FD" w14:textId="2170A04D" w:rsidR="00913947" w:rsidRPr="00AE188D" w:rsidRDefault="00913947" w:rsidP="00AE188D">
      <w:pPr>
        <w:pStyle w:val="ListParagraph"/>
        <w:numPr>
          <w:ilvl w:val="0"/>
          <w:numId w:val="1"/>
        </w:numPr>
        <w:spacing w:before="240" w:after="240" w:line="360" w:lineRule="auto"/>
        <w:ind w:left="0" w:firstLine="851"/>
        <w:jc w:val="both"/>
        <w:rPr>
          <w:sz w:val="24"/>
          <w:szCs w:val="24"/>
          <w:shd w:val="clear" w:color="auto" w:fill="FEFEFE"/>
        </w:rPr>
      </w:pPr>
      <w:r w:rsidRPr="00AE188D">
        <w:rPr>
          <w:sz w:val="24"/>
          <w:szCs w:val="24"/>
          <w:shd w:val="clear" w:color="auto" w:fill="FEFEFE"/>
        </w:rPr>
        <w:t>„Средства за наблюдение на горски пожари“ са бинокли</w:t>
      </w:r>
      <w:r w:rsidR="00B7387D" w:rsidRPr="00AE188D">
        <w:rPr>
          <w:sz w:val="24"/>
          <w:szCs w:val="24"/>
          <w:shd w:val="clear" w:color="auto" w:fill="FEFEFE"/>
        </w:rPr>
        <w:t xml:space="preserve"> и</w:t>
      </w:r>
      <w:r w:rsidR="00AE188D" w:rsidRPr="00AE188D">
        <w:rPr>
          <w:sz w:val="24"/>
          <w:szCs w:val="24"/>
          <w:shd w:val="clear" w:color="auto" w:fill="FEFEFE"/>
        </w:rPr>
        <w:t xml:space="preserve"> монокли</w:t>
      </w:r>
      <w:r w:rsidR="00B7387D" w:rsidRPr="00AE188D">
        <w:rPr>
          <w:sz w:val="24"/>
          <w:szCs w:val="24"/>
          <w:shd w:val="clear" w:color="auto" w:fill="FEFEFE"/>
        </w:rPr>
        <w:t xml:space="preserve"> </w:t>
      </w:r>
      <w:r w:rsidR="00AE188D" w:rsidRPr="00AE188D">
        <w:rPr>
          <w:sz w:val="24"/>
          <w:szCs w:val="24"/>
          <w:shd w:val="clear" w:color="auto" w:fill="FEFEFE"/>
        </w:rPr>
        <w:t>с изключение на телескопи и уреди за нощно виждане</w:t>
      </w:r>
      <w:r w:rsidR="00B7387D" w:rsidRPr="00AE188D">
        <w:rPr>
          <w:sz w:val="24"/>
          <w:szCs w:val="24"/>
          <w:shd w:val="clear" w:color="auto" w:fill="FEFEFE"/>
        </w:rPr>
        <w:t>.</w:t>
      </w:r>
      <w:r w:rsidRPr="00AE188D">
        <w:rPr>
          <w:sz w:val="24"/>
          <w:szCs w:val="24"/>
          <w:shd w:val="clear" w:color="auto" w:fill="FEFEFE"/>
        </w:rPr>
        <w:t xml:space="preserve"> </w:t>
      </w:r>
    </w:p>
    <w:p w14:paraId="3B227551" w14:textId="06EC0031" w:rsidR="00913947" w:rsidRPr="00AE188D"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AE188D">
        <w:rPr>
          <w:sz w:val="24"/>
          <w:szCs w:val="24"/>
          <w:shd w:val="clear" w:color="auto" w:fill="FEFEFE"/>
        </w:rPr>
        <w:t xml:space="preserve">„Средства за наблюдение на болести и вредители“ са оборудване и технически средства, </w:t>
      </w:r>
      <w:r w:rsidR="00AE188D">
        <w:rPr>
          <w:sz w:val="24"/>
          <w:szCs w:val="24"/>
          <w:shd w:val="clear" w:color="auto" w:fill="FEFEFE"/>
        </w:rPr>
        <w:t xml:space="preserve">различни от изброените в </w:t>
      </w:r>
      <w:r w:rsidRPr="00AE188D">
        <w:rPr>
          <w:sz w:val="24"/>
          <w:szCs w:val="24"/>
          <w:shd w:val="clear" w:color="auto" w:fill="FEFEFE"/>
        </w:rPr>
        <w:t xml:space="preserve"> Приложение №  </w:t>
      </w:r>
      <w:r w:rsidR="00AE188D">
        <w:rPr>
          <w:sz w:val="24"/>
          <w:szCs w:val="24"/>
          <w:shd w:val="clear" w:color="auto" w:fill="FEFEFE"/>
        </w:rPr>
        <w:t>4</w:t>
      </w:r>
      <w:bookmarkStart w:id="0" w:name="_GoBack"/>
      <w:bookmarkEnd w:id="0"/>
      <w:r w:rsidRPr="00AE188D">
        <w:rPr>
          <w:sz w:val="24"/>
          <w:szCs w:val="24"/>
          <w:shd w:val="clear" w:color="auto" w:fill="FEFEFE"/>
        </w:rPr>
        <w:t>.</w:t>
      </w:r>
    </w:p>
    <w:p w14:paraId="33FB6610"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lastRenderedPageBreak/>
        <w:t>„Съпоставими оферти“ са оферти, които отговарят на запитването за оферта на кандидата и съдържат:</w:t>
      </w:r>
    </w:p>
    <w:p w14:paraId="4E875226" w14:textId="77777777" w:rsidR="00913947" w:rsidRPr="00B2429F"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 xml:space="preserve">а) еднотипни основни технически характеристики - в случаите, когато се кандидатства за разходи за закупуване на </w:t>
      </w:r>
      <w:r w:rsidRPr="00CF3035">
        <w:rPr>
          <w:sz w:val="24"/>
          <w:szCs w:val="24"/>
          <w:shd w:val="clear" w:color="auto" w:fill="FEFEFE"/>
        </w:rPr>
        <w:t>оборудване, средства за наблюдение и технологии</w:t>
      </w:r>
      <w:r w:rsidRPr="00B2429F">
        <w:rPr>
          <w:sz w:val="24"/>
          <w:szCs w:val="24"/>
          <w:shd w:val="clear" w:color="auto" w:fill="FEFEFE"/>
        </w:rPr>
        <w:t>;</w:t>
      </w:r>
    </w:p>
    <w:p w14:paraId="38674995" w14:textId="77777777" w:rsidR="00913947" w:rsidRPr="00B2429F"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б) общ капацитет на оборудването - в случаите, когато се кандидатства за разходи за закупуване на оборудване</w:t>
      </w:r>
      <w:r w:rsidRPr="00CF3035">
        <w:rPr>
          <w:sz w:val="24"/>
          <w:szCs w:val="24"/>
          <w:shd w:val="clear" w:color="auto" w:fill="FEFEFE"/>
        </w:rPr>
        <w:t>, съставени от различни съоръжения или оборудване</w:t>
      </w:r>
      <w:r w:rsidRPr="00B2429F">
        <w:rPr>
          <w:sz w:val="24"/>
          <w:szCs w:val="24"/>
          <w:shd w:val="clear" w:color="auto" w:fill="FEFEFE"/>
        </w:rPr>
        <w:t>;</w:t>
      </w:r>
    </w:p>
    <w:p w14:paraId="6D7EA16F" w14:textId="77777777" w:rsidR="00913947" w:rsidRDefault="00913947" w:rsidP="00913947">
      <w:pPr>
        <w:pStyle w:val="ListParagraph"/>
        <w:spacing w:before="240" w:after="240" w:line="360" w:lineRule="auto"/>
        <w:ind w:left="0" w:firstLine="567"/>
        <w:jc w:val="both"/>
        <w:rPr>
          <w:sz w:val="24"/>
          <w:szCs w:val="24"/>
          <w:shd w:val="clear" w:color="auto" w:fill="FEFEFE"/>
        </w:rPr>
      </w:pPr>
      <w:r w:rsidRPr="00B2429F">
        <w:rPr>
          <w:sz w:val="24"/>
          <w:szCs w:val="24"/>
          <w:shd w:val="clear" w:color="auto" w:fill="FEFEFE"/>
        </w:rPr>
        <w:t>в) количествено-стойностни сметки - в случаите, когато се кандидатства за разходи за извършване на строително-монтажни работи.</w:t>
      </w:r>
    </w:p>
    <w:p w14:paraId="2E040407" w14:textId="77777777" w:rsidR="00913947"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w:t>
      </w:r>
      <w:proofErr w:type="spellStart"/>
      <w:r w:rsidRPr="00DF19C8">
        <w:rPr>
          <w:sz w:val="24"/>
          <w:szCs w:val="24"/>
          <w:shd w:val="clear" w:color="auto" w:fill="FEFEFE"/>
        </w:rPr>
        <w:t>Феромони</w:t>
      </w:r>
      <w:proofErr w:type="spellEnd"/>
      <w:r w:rsidRPr="00DF19C8">
        <w:rPr>
          <w:sz w:val="24"/>
          <w:szCs w:val="24"/>
          <w:shd w:val="clear" w:color="auto" w:fill="FEFEFE"/>
        </w:rPr>
        <w:t>” – сигнални вещества, отделени от жлези с вътрешна секреция на насекомите. Предизвикват промени в поведението или физиологичните реакции на индивидите от същия вид.</w:t>
      </w:r>
    </w:p>
    <w:p w14:paraId="6B1B5F2D" w14:textId="77777777" w:rsidR="00913947" w:rsidRPr="00DF19C8" w:rsidRDefault="00913947" w:rsidP="00913947">
      <w:pPr>
        <w:pStyle w:val="ListParagraph"/>
        <w:numPr>
          <w:ilvl w:val="0"/>
          <w:numId w:val="1"/>
        </w:numPr>
        <w:spacing w:before="240" w:after="240" w:line="360" w:lineRule="auto"/>
        <w:ind w:left="0" w:firstLine="851"/>
        <w:jc w:val="both"/>
        <w:rPr>
          <w:sz w:val="24"/>
          <w:szCs w:val="24"/>
          <w:shd w:val="clear" w:color="auto" w:fill="FEFEFE"/>
        </w:rPr>
      </w:pPr>
      <w:r w:rsidRPr="00DF19C8">
        <w:rPr>
          <w:sz w:val="24"/>
          <w:szCs w:val="24"/>
          <w:shd w:val="clear" w:color="auto" w:fill="FEFEFE"/>
        </w:rPr>
        <w:t>„Частичен отказ за финансиране</w:t>
      </w:r>
      <w:r>
        <w:rPr>
          <w:sz w:val="24"/>
          <w:szCs w:val="24"/>
          <w:shd w:val="clear" w:color="auto" w:fill="FEFEFE"/>
        </w:rPr>
        <w:t>“</w:t>
      </w:r>
      <w:r w:rsidRPr="00DF19C8">
        <w:rPr>
          <w:sz w:val="24"/>
          <w:szCs w:val="24"/>
          <w:shd w:val="clear" w:color="auto" w:fill="FEFEFE"/>
        </w:rPr>
        <w:t xml:space="preserve"> е отказът да се финансират част от заявените разходи на кандидата, които са включени в проектното предложение, одобрено за подпомагане по ПРСР 2014 - 2020 г.</w:t>
      </w:r>
    </w:p>
    <w:p w14:paraId="141F2B00" w14:textId="77777777" w:rsidR="00913947" w:rsidRDefault="00913947" w:rsidP="00913947">
      <w:pPr>
        <w:spacing w:before="120" w:after="120"/>
        <w:jc w:val="center"/>
        <w:rPr>
          <w:rFonts w:ascii="Times New Roman" w:eastAsiaTheme="minorEastAsia" w:hAnsi="Times New Roman" w:cs="Times New Roman"/>
          <w:b/>
          <w:sz w:val="24"/>
          <w:szCs w:val="24"/>
          <w:shd w:val="clear" w:color="auto" w:fill="FEFEFE"/>
          <w:lang w:val="en-US" w:eastAsia="bg-BG"/>
        </w:rPr>
      </w:pPr>
    </w:p>
    <w:p w14:paraId="0AC156FA" w14:textId="77777777" w:rsidR="00913947" w:rsidRPr="00913947" w:rsidRDefault="00913947" w:rsidP="00913947">
      <w:pPr>
        <w:spacing w:before="120" w:after="120"/>
        <w:jc w:val="center"/>
        <w:rPr>
          <w:rFonts w:ascii="Times New Roman" w:eastAsiaTheme="minorEastAsia" w:hAnsi="Times New Roman" w:cs="Times New Roman"/>
          <w:b/>
          <w:sz w:val="24"/>
          <w:szCs w:val="24"/>
          <w:shd w:val="clear" w:color="auto" w:fill="FEFEFE"/>
          <w:lang w:val="en-US" w:eastAsia="bg-BG"/>
        </w:rPr>
      </w:pPr>
    </w:p>
    <w:p w14:paraId="36325C3C" w14:textId="77777777" w:rsidR="002127DB" w:rsidRDefault="002127DB"/>
    <w:sectPr w:rsidR="002127DB" w:rsidSect="00A25166">
      <w:footerReference w:type="default" r:id="rId8"/>
      <w:pgSz w:w="12240" w:h="15840"/>
      <w:pgMar w:top="1440" w:right="1440" w:bottom="1440" w:left="1440" w:header="708" w:footer="454"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AEE2B5" w15:done="0"/>
  <w15:commentEx w15:paraId="6D3C225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CC145" w14:textId="77777777" w:rsidR="00CB577F" w:rsidRDefault="00CB577F" w:rsidP="00A25166">
      <w:pPr>
        <w:spacing w:after="0" w:line="240" w:lineRule="auto"/>
      </w:pPr>
      <w:r>
        <w:separator/>
      </w:r>
    </w:p>
  </w:endnote>
  <w:endnote w:type="continuationSeparator" w:id="0">
    <w:p w14:paraId="0559F14D" w14:textId="77777777" w:rsidR="00CB577F" w:rsidRDefault="00CB577F" w:rsidP="00A25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4773204"/>
      <w:docPartObj>
        <w:docPartGallery w:val="Page Numbers (Bottom of Page)"/>
        <w:docPartUnique/>
      </w:docPartObj>
    </w:sdtPr>
    <w:sdtEndPr/>
    <w:sdtContent>
      <w:sdt>
        <w:sdtPr>
          <w:id w:val="-1769616900"/>
          <w:docPartObj>
            <w:docPartGallery w:val="Page Numbers (Top of Page)"/>
            <w:docPartUnique/>
          </w:docPartObj>
        </w:sdtPr>
        <w:sdtEndPr/>
        <w:sdtContent>
          <w:p w14:paraId="369CEF36" w14:textId="7D14B18B" w:rsidR="00A25166" w:rsidRDefault="00A25166">
            <w:pPr>
              <w:pStyle w:val="Footer"/>
              <w:jc w:val="right"/>
            </w:pPr>
            <w:r>
              <w:rPr>
                <w:rFonts w:ascii="Times New Roman" w:hAnsi="Times New Roman" w:cs="Times New Roman"/>
                <w:sz w:val="20"/>
                <w:szCs w:val="20"/>
              </w:rPr>
              <w:t>Стр.</w:t>
            </w:r>
            <w:r w:rsidRPr="00A25166">
              <w:rPr>
                <w:rFonts w:ascii="Times New Roman" w:hAnsi="Times New Roman" w:cs="Times New Roman"/>
                <w:sz w:val="20"/>
                <w:szCs w:val="20"/>
              </w:rPr>
              <w:t xml:space="preserve"> </w:t>
            </w:r>
            <w:r w:rsidRPr="00A25166">
              <w:rPr>
                <w:rFonts w:ascii="Times New Roman" w:hAnsi="Times New Roman" w:cs="Times New Roman"/>
                <w:b/>
                <w:bCs/>
                <w:sz w:val="20"/>
                <w:szCs w:val="20"/>
              </w:rPr>
              <w:fldChar w:fldCharType="begin"/>
            </w:r>
            <w:r w:rsidRPr="00A25166">
              <w:rPr>
                <w:rFonts w:ascii="Times New Roman" w:hAnsi="Times New Roman" w:cs="Times New Roman"/>
                <w:b/>
                <w:bCs/>
                <w:sz w:val="20"/>
                <w:szCs w:val="20"/>
              </w:rPr>
              <w:instrText xml:space="preserve"> PAGE </w:instrText>
            </w:r>
            <w:r w:rsidRPr="00A25166">
              <w:rPr>
                <w:rFonts w:ascii="Times New Roman" w:hAnsi="Times New Roman" w:cs="Times New Roman"/>
                <w:b/>
                <w:bCs/>
                <w:sz w:val="20"/>
                <w:szCs w:val="20"/>
              </w:rPr>
              <w:fldChar w:fldCharType="separate"/>
            </w:r>
            <w:r w:rsidR="00AE188D">
              <w:rPr>
                <w:rFonts w:ascii="Times New Roman" w:hAnsi="Times New Roman" w:cs="Times New Roman"/>
                <w:b/>
                <w:bCs/>
                <w:noProof/>
                <w:sz w:val="20"/>
                <w:szCs w:val="20"/>
              </w:rPr>
              <w:t>6</w:t>
            </w:r>
            <w:r w:rsidRPr="00A25166">
              <w:rPr>
                <w:rFonts w:ascii="Times New Roman" w:hAnsi="Times New Roman" w:cs="Times New Roman"/>
                <w:b/>
                <w:bCs/>
                <w:sz w:val="20"/>
                <w:szCs w:val="20"/>
              </w:rPr>
              <w:fldChar w:fldCharType="end"/>
            </w:r>
            <w:r w:rsidRPr="00A25166">
              <w:rPr>
                <w:rFonts w:ascii="Times New Roman" w:hAnsi="Times New Roman" w:cs="Times New Roman"/>
                <w:sz w:val="20"/>
                <w:szCs w:val="20"/>
              </w:rPr>
              <w:t xml:space="preserve"> </w:t>
            </w:r>
            <w:r>
              <w:rPr>
                <w:rFonts w:ascii="Times New Roman" w:hAnsi="Times New Roman" w:cs="Times New Roman"/>
                <w:sz w:val="20"/>
                <w:szCs w:val="20"/>
              </w:rPr>
              <w:t>от</w:t>
            </w:r>
            <w:r w:rsidRPr="00A25166">
              <w:rPr>
                <w:rFonts w:ascii="Times New Roman" w:hAnsi="Times New Roman" w:cs="Times New Roman"/>
                <w:sz w:val="20"/>
                <w:szCs w:val="20"/>
              </w:rPr>
              <w:t xml:space="preserve"> </w:t>
            </w:r>
            <w:r w:rsidRPr="00A25166">
              <w:rPr>
                <w:rFonts w:ascii="Times New Roman" w:hAnsi="Times New Roman" w:cs="Times New Roman"/>
                <w:b/>
                <w:bCs/>
                <w:sz w:val="20"/>
                <w:szCs w:val="20"/>
              </w:rPr>
              <w:fldChar w:fldCharType="begin"/>
            </w:r>
            <w:r w:rsidRPr="00A25166">
              <w:rPr>
                <w:rFonts w:ascii="Times New Roman" w:hAnsi="Times New Roman" w:cs="Times New Roman"/>
                <w:b/>
                <w:bCs/>
                <w:sz w:val="20"/>
                <w:szCs w:val="20"/>
              </w:rPr>
              <w:instrText xml:space="preserve"> NUMPAGES  </w:instrText>
            </w:r>
            <w:r w:rsidRPr="00A25166">
              <w:rPr>
                <w:rFonts w:ascii="Times New Roman" w:hAnsi="Times New Roman" w:cs="Times New Roman"/>
                <w:b/>
                <w:bCs/>
                <w:sz w:val="20"/>
                <w:szCs w:val="20"/>
              </w:rPr>
              <w:fldChar w:fldCharType="separate"/>
            </w:r>
            <w:r w:rsidR="00AE188D">
              <w:rPr>
                <w:rFonts w:ascii="Times New Roman" w:hAnsi="Times New Roman" w:cs="Times New Roman"/>
                <w:b/>
                <w:bCs/>
                <w:noProof/>
                <w:sz w:val="20"/>
                <w:szCs w:val="20"/>
              </w:rPr>
              <w:t>9</w:t>
            </w:r>
            <w:r w:rsidRPr="00A25166">
              <w:rPr>
                <w:rFonts w:ascii="Times New Roman" w:hAnsi="Times New Roman" w:cs="Times New Roman"/>
                <w:b/>
                <w:bCs/>
                <w:sz w:val="20"/>
                <w:szCs w:val="20"/>
              </w:rPr>
              <w:fldChar w:fldCharType="end"/>
            </w:r>
          </w:p>
        </w:sdtContent>
      </w:sdt>
    </w:sdtContent>
  </w:sdt>
  <w:p w14:paraId="3D91C7C1" w14:textId="77777777" w:rsidR="00A25166" w:rsidRDefault="00A251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DFFEE" w14:textId="77777777" w:rsidR="00CB577F" w:rsidRDefault="00CB577F" w:rsidP="00A25166">
      <w:pPr>
        <w:spacing w:after="0" w:line="240" w:lineRule="auto"/>
      </w:pPr>
      <w:r>
        <w:separator/>
      </w:r>
    </w:p>
  </w:footnote>
  <w:footnote w:type="continuationSeparator" w:id="0">
    <w:p w14:paraId="4CC80C64" w14:textId="77777777" w:rsidR="00CB577F" w:rsidRDefault="00CB577F" w:rsidP="00A251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2717"/>
    <w:multiLevelType w:val="hybridMultilevel"/>
    <w:tmpl w:val="171E471E"/>
    <w:lvl w:ilvl="0" w:tplc="4822B54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adan Birkov">
    <w15:presenceInfo w15:providerId="None" w15:userId="Ramadan Birk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947"/>
    <w:rsid w:val="002127DB"/>
    <w:rsid w:val="004F4818"/>
    <w:rsid w:val="0091003D"/>
    <w:rsid w:val="00913947"/>
    <w:rsid w:val="00971414"/>
    <w:rsid w:val="00A25166"/>
    <w:rsid w:val="00AE188D"/>
    <w:rsid w:val="00B7387D"/>
    <w:rsid w:val="00BE75FD"/>
    <w:rsid w:val="00CB5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9B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947"/>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13947"/>
    <w:pPr>
      <w:widowControl w:val="0"/>
      <w:autoSpaceDE w:val="0"/>
      <w:autoSpaceDN w:val="0"/>
      <w:adjustRightInd w:val="0"/>
      <w:spacing w:after="0" w:line="240" w:lineRule="auto"/>
      <w:ind w:left="720"/>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A251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5166"/>
    <w:rPr>
      <w:lang w:val="bg-BG"/>
    </w:rPr>
  </w:style>
  <w:style w:type="paragraph" w:styleId="Footer">
    <w:name w:val="footer"/>
    <w:basedOn w:val="Normal"/>
    <w:link w:val="FooterChar"/>
    <w:uiPriority w:val="99"/>
    <w:unhideWhenUsed/>
    <w:rsid w:val="00A251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5166"/>
    <w:rPr>
      <w:lang w:val="bg-BG"/>
    </w:rPr>
  </w:style>
  <w:style w:type="character" w:styleId="CommentReference">
    <w:name w:val="annotation reference"/>
    <w:basedOn w:val="DefaultParagraphFont"/>
    <w:uiPriority w:val="99"/>
    <w:semiHidden/>
    <w:unhideWhenUsed/>
    <w:rsid w:val="00A25166"/>
    <w:rPr>
      <w:sz w:val="16"/>
      <w:szCs w:val="16"/>
    </w:rPr>
  </w:style>
  <w:style w:type="paragraph" w:styleId="CommentText">
    <w:name w:val="annotation text"/>
    <w:basedOn w:val="Normal"/>
    <w:link w:val="CommentTextChar"/>
    <w:uiPriority w:val="99"/>
    <w:semiHidden/>
    <w:unhideWhenUsed/>
    <w:rsid w:val="00A25166"/>
    <w:pPr>
      <w:spacing w:line="240" w:lineRule="auto"/>
    </w:pPr>
    <w:rPr>
      <w:sz w:val="20"/>
      <w:szCs w:val="20"/>
    </w:rPr>
  </w:style>
  <w:style w:type="character" w:customStyle="1" w:styleId="CommentTextChar">
    <w:name w:val="Comment Text Char"/>
    <w:basedOn w:val="DefaultParagraphFont"/>
    <w:link w:val="CommentText"/>
    <w:uiPriority w:val="99"/>
    <w:semiHidden/>
    <w:rsid w:val="00A25166"/>
    <w:rPr>
      <w:sz w:val="20"/>
      <w:szCs w:val="20"/>
      <w:lang w:val="bg-BG"/>
    </w:rPr>
  </w:style>
  <w:style w:type="paragraph" w:styleId="CommentSubject">
    <w:name w:val="annotation subject"/>
    <w:basedOn w:val="CommentText"/>
    <w:next w:val="CommentText"/>
    <w:link w:val="CommentSubjectChar"/>
    <w:uiPriority w:val="99"/>
    <w:semiHidden/>
    <w:unhideWhenUsed/>
    <w:rsid w:val="00A25166"/>
    <w:rPr>
      <w:b/>
      <w:bCs/>
    </w:rPr>
  </w:style>
  <w:style w:type="character" w:customStyle="1" w:styleId="CommentSubjectChar">
    <w:name w:val="Comment Subject Char"/>
    <w:basedOn w:val="CommentTextChar"/>
    <w:link w:val="CommentSubject"/>
    <w:uiPriority w:val="99"/>
    <w:semiHidden/>
    <w:rsid w:val="00A25166"/>
    <w:rPr>
      <w:b/>
      <w:bCs/>
      <w:sz w:val="20"/>
      <w:szCs w:val="20"/>
      <w:lang w:val="bg-BG"/>
    </w:rPr>
  </w:style>
  <w:style w:type="paragraph" w:styleId="BalloonText">
    <w:name w:val="Balloon Text"/>
    <w:basedOn w:val="Normal"/>
    <w:link w:val="BalloonTextChar"/>
    <w:uiPriority w:val="99"/>
    <w:semiHidden/>
    <w:unhideWhenUsed/>
    <w:rsid w:val="00A251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166"/>
    <w:rPr>
      <w:rFonts w:ascii="Segoe UI" w:hAnsi="Segoe UI" w:cs="Segoe UI"/>
      <w:sz w:val="18"/>
      <w:szCs w:val="18"/>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947"/>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13947"/>
    <w:pPr>
      <w:widowControl w:val="0"/>
      <w:autoSpaceDE w:val="0"/>
      <w:autoSpaceDN w:val="0"/>
      <w:adjustRightInd w:val="0"/>
      <w:spacing w:after="0" w:line="240" w:lineRule="auto"/>
      <w:ind w:left="720"/>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A251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25166"/>
    <w:rPr>
      <w:lang w:val="bg-BG"/>
    </w:rPr>
  </w:style>
  <w:style w:type="paragraph" w:styleId="Footer">
    <w:name w:val="footer"/>
    <w:basedOn w:val="Normal"/>
    <w:link w:val="FooterChar"/>
    <w:uiPriority w:val="99"/>
    <w:unhideWhenUsed/>
    <w:rsid w:val="00A251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5166"/>
    <w:rPr>
      <w:lang w:val="bg-BG"/>
    </w:rPr>
  </w:style>
  <w:style w:type="character" w:styleId="CommentReference">
    <w:name w:val="annotation reference"/>
    <w:basedOn w:val="DefaultParagraphFont"/>
    <w:uiPriority w:val="99"/>
    <w:semiHidden/>
    <w:unhideWhenUsed/>
    <w:rsid w:val="00A25166"/>
    <w:rPr>
      <w:sz w:val="16"/>
      <w:szCs w:val="16"/>
    </w:rPr>
  </w:style>
  <w:style w:type="paragraph" w:styleId="CommentText">
    <w:name w:val="annotation text"/>
    <w:basedOn w:val="Normal"/>
    <w:link w:val="CommentTextChar"/>
    <w:uiPriority w:val="99"/>
    <w:semiHidden/>
    <w:unhideWhenUsed/>
    <w:rsid w:val="00A25166"/>
    <w:pPr>
      <w:spacing w:line="240" w:lineRule="auto"/>
    </w:pPr>
    <w:rPr>
      <w:sz w:val="20"/>
      <w:szCs w:val="20"/>
    </w:rPr>
  </w:style>
  <w:style w:type="character" w:customStyle="1" w:styleId="CommentTextChar">
    <w:name w:val="Comment Text Char"/>
    <w:basedOn w:val="DefaultParagraphFont"/>
    <w:link w:val="CommentText"/>
    <w:uiPriority w:val="99"/>
    <w:semiHidden/>
    <w:rsid w:val="00A25166"/>
    <w:rPr>
      <w:sz w:val="20"/>
      <w:szCs w:val="20"/>
      <w:lang w:val="bg-BG"/>
    </w:rPr>
  </w:style>
  <w:style w:type="paragraph" w:styleId="CommentSubject">
    <w:name w:val="annotation subject"/>
    <w:basedOn w:val="CommentText"/>
    <w:next w:val="CommentText"/>
    <w:link w:val="CommentSubjectChar"/>
    <w:uiPriority w:val="99"/>
    <w:semiHidden/>
    <w:unhideWhenUsed/>
    <w:rsid w:val="00A25166"/>
    <w:rPr>
      <w:b/>
      <w:bCs/>
    </w:rPr>
  </w:style>
  <w:style w:type="character" w:customStyle="1" w:styleId="CommentSubjectChar">
    <w:name w:val="Comment Subject Char"/>
    <w:basedOn w:val="CommentTextChar"/>
    <w:link w:val="CommentSubject"/>
    <w:uiPriority w:val="99"/>
    <w:semiHidden/>
    <w:rsid w:val="00A25166"/>
    <w:rPr>
      <w:b/>
      <w:bCs/>
      <w:sz w:val="20"/>
      <w:szCs w:val="20"/>
      <w:lang w:val="bg-BG"/>
    </w:rPr>
  </w:style>
  <w:style w:type="paragraph" w:styleId="BalloonText">
    <w:name w:val="Balloon Text"/>
    <w:basedOn w:val="Normal"/>
    <w:link w:val="BalloonTextChar"/>
    <w:uiPriority w:val="99"/>
    <w:semiHidden/>
    <w:unhideWhenUsed/>
    <w:rsid w:val="00A251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166"/>
    <w:rPr>
      <w:rFonts w:ascii="Segoe UI" w:hAnsi="Segoe UI" w:cs="Segoe UI"/>
      <w:sz w:val="18"/>
      <w:szCs w:val="1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2211</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 Banchev</dc:creator>
  <cp:lastModifiedBy>Stanislav Banchev</cp:lastModifiedBy>
  <cp:revision>4</cp:revision>
  <dcterms:created xsi:type="dcterms:W3CDTF">2018-03-15T12:56:00Z</dcterms:created>
  <dcterms:modified xsi:type="dcterms:W3CDTF">2018-03-28T11:01:00Z</dcterms:modified>
</cp:coreProperties>
</file>